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F078BC">
        <w:rPr>
          <w:sz w:val="24"/>
          <w:szCs w:val="24"/>
        </w:rPr>
        <w:t>1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D34AF">
        <w:rPr>
          <w:sz w:val="24"/>
          <w:szCs w:val="24"/>
        </w:rPr>
        <w:t>1</w:t>
      </w:r>
      <w:r w:rsidR="00F078BC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F078BC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2126"/>
        <w:gridCol w:w="851"/>
      </w:tblGrid>
      <w:tr w:rsidR="00764AB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F078BC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78BC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9C6B5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9C6B5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78BC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9C6B5E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CC55C6" w:rsidRDefault="009C6B5E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78BC" w:rsidRPr="00CC55C6" w:rsidTr="009C6B5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078BC" w:rsidRPr="00CC55C6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078BC" w:rsidRPr="00CC55C6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78BC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Pr="0047077E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78BC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F078BC" w:rsidP="00F078B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F078BC" w:rsidP="00F078B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BC" w:rsidRDefault="00423090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C6B5E" w:rsidRDefault="009C6B5E" w:rsidP="009C6B5E"/>
    <w:p w:rsidR="009C6B5E" w:rsidRDefault="009C6B5E" w:rsidP="009C6B5E">
      <w:pPr>
        <w:ind w:left="709"/>
      </w:pPr>
      <w:r>
        <w:t xml:space="preserve">El resultado del encuentro ha sido Zabala 0 – </w:t>
      </w:r>
      <w:proofErr w:type="spellStart"/>
      <w:r>
        <w:t>Yepronor</w:t>
      </w:r>
      <w:proofErr w:type="spellEnd"/>
      <w:r>
        <w:t xml:space="preserve"> 5.</w:t>
      </w:r>
    </w:p>
    <w:p w:rsidR="009C6B5E" w:rsidRDefault="009C6B5E" w:rsidP="009C6B5E">
      <w:pPr>
        <w:ind w:left="709"/>
      </w:pPr>
    </w:p>
    <w:p w:rsidR="009C6B5E" w:rsidRDefault="009C6B5E" w:rsidP="009C6B5E">
      <w:pPr>
        <w:ind w:left="709"/>
      </w:pPr>
      <w:r>
        <w:t xml:space="preserve">El representante del Zabala ha reclamado alineación indebida del jugador nº 15 </w:t>
      </w:r>
    </w:p>
    <w:p w:rsidR="009C6B5E" w:rsidRDefault="009C6B5E" w:rsidP="009C6B5E">
      <w:pPr>
        <w:ind w:left="709"/>
      </w:pPr>
      <w:proofErr w:type="gramStart"/>
      <w:r>
        <w:t>del</w:t>
      </w:r>
      <w:proofErr w:type="gramEnd"/>
      <w:r>
        <w:t xml:space="preserve"> </w:t>
      </w:r>
      <w:proofErr w:type="spellStart"/>
      <w:r>
        <w:t>Yepronor</w:t>
      </w:r>
      <w:proofErr w:type="spellEnd"/>
      <w:r>
        <w:t xml:space="preserve"> al árbitro, nuevo en este partido.</w:t>
      </w:r>
    </w:p>
    <w:p w:rsidR="009C6B5E" w:rsidRDefault="009C6B5E" w:rsidP="009C6B5E">
      <w:pPr>
        <w:ind w:left="709"/>
      </w:pPr>
    </w:p>
    <w:p w:rsidR="009C6B5E" w:rsidRDefault="009C6B5E" w:rsidP="009C6B5E">
      <w:pPr>
        <w:ind w:left="709"/>
      </w:pPr>
      <w:r>
        <w:t xml:space="preserve">Dado que estaba Anselmo presenciando el encuentro, se han verificado las Fichas entregadas por el </w:t>
      </w:r>
      <w:proofErr w:type="spellStart"/>
      <w:r>
        <w:t>Yepronor</w:t>
      </w:r>
      <w:proofErr w:type="spellEnd"/>
      <w:r>
        <w:t xml:space="preserve"> comprobándose que el titular de ese dorsal y ficha no era el que estaba participando en el partido por lo que se da el partido por perdido al </w:t>
      </w:r>
      <w:proofErr w:type="spellStart"/>
      <w:r>
        <w:t>Yepronor</w:t>
      </w:r>
      <w:proofErr w:type="spellEnd"/>
      <w:r>
        <w:t xml:space="preserve"> por el resultado de 4-0 imponiéndosele además la sanción de 24 euros de multa.</w:t>
      </w:r>
    </w:p>
    <w:p w:rsidR="009C6B5E" w:rsidRDefault="009C6B5E" w:rsidP="009C6B5E">
      <w:pPr>
        <w:ind w:left="709"/>
      </w:pPr>
    </w:p>
    <w:p w:rsidR="009C6B5E" w:rsidRDefault="002930FF" w:rsidP="009C6B5E">
      <w:pPr>
        <w:ind w:left="709"/>
      </w:pPr>
      <w:r>
        <w:t>Tras</w:t>
      </w:r>
      <w:r w:rsidR="009C6B5E">
        <w:t xml:space="preserve"> todo ello, el Zabala resulta ganador del Torneo Apertura. </w:t>
      </w: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lastRenderedPageBreak/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2930FF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3434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8E34F0">
        <w:rPr>
          <w:b/>
          <w:u w:val="single"/>
        </w:rPr>
        <w:t>22</w:t>
      </w:r>
      <w:proofErr w:type="gramEnd"/>
      <w:r>
        <w:rPr>
          <w:b/>
          <w:u w:val="single"/>
        </w:rPr>
        <w:t xml:space="preserve"> </w:t>
      </w:r>
      <w:r w:rsidR="00FD34AF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8E34F0" w:rsidP="00B41183">
      <w:pPr>
        <w:ind w:left="2124" w:firstLine="708"/>
        <w:rPr>
          <w:b/>
        </w:rPr>
      </w:pPr>
      <w:r>
        <w:rPr>
          <w:b/>
        </w:rPr>
        <w:t>COPA – Octavos de final (a partido único)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559"/>
        <w:gridCol w:w="851"/>
        <w:gridCol w:w="2126"/>
        <w:gridCol w:w="2233"/>
      </w:tblGrid>
      <w:tr w:rsidR="00B41183" w:rsidRPr="0047077E" w:rsidTr="00B41183">
        <w:trPr>
          <w:trHeight w:val="187"/>
        </w:trPr>
        <w:tc>
          <w:tcPr>
            <w:tcW w:w="992" w:type="dxa"/>
          </w:tcPr>
          <w:p w:rsidR="00B41183" w:rsidRPr="0047077E" w:rsidRDefault="00B41183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Partido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51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359" w:type="dxa"/>
            <w:gridSpan w:val="2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B41183" w:rsidRPr="0047077E" w:rsidTr="00B41183">
        <w:trPr>
          <w:trHeight w:val="187"/>
        </w:trPr>
        <w:tc>
          <w:tcPr>
            <w:tcW w:w="992" w:type="dxa"/>
          </w:tcPr>
          <w:p w:rsidR="00B41183" w:rsidRPr="0047077E" w:rsidRDefault="00B41183" w:rsidP="00B41183">
            <w:pPr>
              <w:pStyle w:val="NormalWeb"/>
              <w:jc w:val="center"/>
              <w:textAlignment w:val="top"/>
            </w:pPr>
            <w:r>
              <w:t>A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51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126" w:type="dxa"/>
          </w:tcPr>
          <w:p w:rsidR="00B41183" w:rsidRPr="0047077E" w:rsidRDefault="00B41183" w:rsidP="00FD34AF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33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B41183" w:rsidRPr="0047077E" w:rsidTr="00B41183">
        <w:trPr>
          <w:trHeight w:val="199"/>
        </w:trPr>
        <w:tc>
          <w:tcPr>
            <w:tcW w:w="992" w:type="dxa"/>
          </w:tcPr>
          <w:p w:rsidR="00B41183" w:rsidRDefault="00B41183" w:rsidP="00B41183">
            <w:pPr>
              <w:pStyle w:val="NormalWeb"/>
              <w:jc w:val="center"/>
              <w:textAlignment w:val="top"/>
            </w:pPr>
            <w:r>
              <w:t>B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51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26" w:type="dxa"/>
          </w:tcPr>
          <w:p w:rsidR="00B41183" w:rsidRPr="0047077E" w:rsidRDefault="00B41183" w:rsidP="00FD34A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33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B41183" w:rsidRPr="0047077E" w:rsidTr="00B41183">
        <w:trPr>
          <w:trHeight w:val="199"/>
        </w:trPr>
        <w:tc>
          <w:tcPr>
            <w:tcW w:w="992" w:type="dxa"/>
          </w:tcPr>
          <w:p w:rsidR="00B41183" w:rsidRDefault="00B41183" w:rsidP="00B41183">
            <w:pPr>
              <w:pStyle w:val="NormalWeb"/>
              <w:jc w:val="center"/>
              <w:textAlignment w:val="top"/>
            </w:pPr>
            <w:r>
              <w:t>C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51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26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33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B41183" w:rsidRPr="0047077E" w:rsidTr="00B41183">
        <w:trPr>
          <w:trHeight w:val="199"/>
        </w:trPr>
        <w:tc>
          <w:tcPr>
            <w:tcW w:w="992" w:type="dxa"/>
          </w:tcPr>
          <w:p w:rsidR="00B41183" w:rsidRDefault="00B41183" w:rsidP="00B41183">
            <w:pPr>
              <w:pStyle w:val="NormalWeb"/>
              <w:jc w:val="center"/>
              <w:textAlignment w:val="top"/>
            </w:pPr>
            <w:r>
              <w:t>D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51" w:type="dxa"/>
          </w:tcPr>
          <w:p w:rsidR="00B41183" w:rsidRPr="0047077E" w:rsidRDefault="00B41183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26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233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B41183" w:rsidRPr="0047077E" w:rsidTr="00B41183">
        <w:trPr>
          <w:trHeight w:val="248"/>
        </w:trPr>
        <w:tc>
          <w:tcPr>
            <w:tcW w:w="992" w:type="dxa"/>
          </w:tcPr>
          <w:p w:rsidR="00B41183" w:rsidRDefault="00B41183" w:rsidP="00B41183">
            <w:pPr>
              <w:pStyle w:val="NormalWeb"/>
              <w:jc w:val="center"/>
              <w:textAlignment w:val="top"/>
            </w:pPr>
            <w:r>
              <w:t>E</w:t>
            </w:r>
          </w:p>
        </w:tc>
        <w:tc>
          <w:tcPr>
            <w:tcW w:w="1559" w:type="dxa"/>
          </w:tcPr>
          <w:p w:rsidR="00B41183" w:rsidRPr="0047077E" w:rsidRDefault="00B41183" w:rsidP="00D97D50">
            <w:pPr>
              <w:pStyle w:val="NormalWeb"/>
              <w:textAlignment w:val="top"/>
            </w:pPr>
            <w:r>
              <w:t>Arteaga</w:t>
            </w:r>
          </w:p>
        </w:tc>
        <w:tc>
          <w:tcPr>
            <w:tcW w:w="851" w:type="dxa"/>
          </w:tcPr>
          <w:p w:rsidR="00B41183" w:rsidRPr="0047077E" w:rsidRDefault="00B41183" w:rsidP="00174F66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26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33" w:type="dxa"/>
          </w:tcPr>
          <w:p w:rsidR="00B41183" w:rsidRPr="0047077E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B41183" w:rsidRPr="0047077E" w:rsidTr="00B41183">
        <w:trPr>
          <w:trHeight w:val="248"/>
        </w:trPr>
        <w:tc>
          <w:tcPr>
            <w:tcW w:w="992" w:type="dxa"/>
          </w:tcPr>
          <w:p w:rsidR="00B41183" w:rsidRDefault="00B41183" w:rsidP="00B41183">
            <w:pPr>
              <w:pStyle w:val="NormalWeb"/>
              <w:jc w:val="center"/>
              <w:textAlignment w:val="top"/>
            </w:pPr>
            <w:r>
              <w:t>F</w:t>
            </w:r>
          </w:p>
        </w:tc>
        <w:tc>
          <w:tcPr>
            <w:tcW w:w="1559" w:type="dxa"/>
          </w:tcPr>
          <w:p w:rsidR="00B41183" w:rsidRDefault="00B41183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51" w:type="dxa"/>
          </w:tcPr>
          <w:p w:rsidR="00B41183" w:rsidRPr="00656E9D" w:rsidRDefault="00B411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126" w:type="dxa"/>
          </w:tcPr>
          <w:p w:rsidR="00B41183" w:rsidRDefault="00B41183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33" w:type="dxa"/>
          </w:tcPr>
          <w:p w:rsidR="00B41183" w:rsidRDefault="00B41183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B41183" w:rsidRDefault="00B41183" w:rsidP="00B41183">
      <w:pPr>
        <w:ind w:left="851" w:hanging="491"/>
      </w:pPr>
      <w:r>
        <w:t xml:space="preserve">        En caso de empate al final del tiempo reglamentario se lanzarán </w:t>
      </w:r>
      <w:proofErr w:type="spellStart"/>
      <w:r>
        <w:t>penalties</w:t>
      </w:r>
      <w:proofErr w:type="spellEnd"/>
      <w:r>
        <w:t xml:space="preserve"> para determinar el equipo ganador del encuentro.</w:t>
      </w:r>
    </w:p>
    <w:p w:rsidR="00B41183" w:rsidRDefault="00B41183" w:rsidP="00B41183">
      <w:pPr>
        <w:ind w:left="851" w:hanging="491"/>
      </w:pPr>
      <w:r>
        <w:t xml:space="preserve">        Dos de los equipos perdedores se repescarán para jugar por los puestos 1º a 8º según el resultado del sorteo ya realizado y que se hará público tras finalizar todos los partidos de la jornada a través de la web del Torneo y del grupo </w:t>
      </w:r>
      <w:proofErr w:type="spellStart"/>
      <w:r>
        <w:t>whatsapp</w:t>
      </w:r>
      <w:proofErr w:type="spellEnd"/>
      <w:r>
        <w:t xml:space="preserve"> de los responsables.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93FB9">
        <w:t>3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93FB9">
        <w:t>8</w:t>
      </w:r>
    </w:p>
    <w:p w:rsidR="002D0B00" w:rsidRPr="00193FB9" w:rsidRDefault="00524D56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93FB9">
        <w:t>13</w:t>
      </w:r>
    </w:p>
    <w:p w:rsidR="00193FB9" w:rsidRPr="00193FB9" w:rsidRDefault="00193FB9" w:rsidP="00F7474F">
      <w:pPr>
        <w:numPr>
          <w:ilvl w:val="3"/>
          <w:numId w:val="11"/>
        </w:numPr>
        <w:rPr>
          <w:u w:val="single"/>
        </w:rPr>
      </w:pPr>
      <w:r>
        <w:t>amarilla al nº 27.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193FB9" w:rsidRPr="00925197" w:rsidRDefault="00193FB9" w:rsidP="00193FB9">
      <w:pPr>
        <w:numPr>
          <w:ilvl w:val="0"/>
          <w:numId w:val="4"/>
        </w:numPr>
        <w:rPr>
          <w:b/>
          <w:u w:val="single"/>
        </w:rPr>
      </w:pPr>
      <w:proofErr w:type="spellStart"/>
      <w:r w:rsidRPr="00925197">
        <w:rPr>
          <w:b/>
        </w:rPr>
        <w:t>Koky</w:t>
      </w:r>
      <w:proofErr w:type="spellEnd"/>
    </w:p>
    <w:p w:rsidR="00193FB9" w:rsidRPr="00193FB9" w:rsidRDefault="00193FB9" w:rsidP="00193FB9">
      <w:pPr>
        <w:numPr>
          <w:ilvl w:val="2"/>
          <w:numId w:val="4"/>
        </w:numPr>
        <w:rPr>
          <w:b/>
          <w:u w:val="single"/>
        </w:rPr>
      </w:pPr>
      <w:r>
        <w:t>a</w:t>
      </w:r>
      <w:r w:rsidRPr="001E6EEC">
        <w:t xml:space="preserve">marilla al nº </w:t>
      </w:r>
      <w:r>
        <w:t>1</w:t>
      </w:r>
      <w:r w:rsidR="00B77F0D">
        <w:t>2</w:t>
      </w:r>
      <w:r>
        <w:t>.</w:t>
      </w:r>
    </w:p>
    <w:p w:rsidR="00B630CD" w:rsidRPr="00193FB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 w:rsidRPr="00193FB9">
        <w:rPr>
          <w:b/>
        </w:rPr>
        <w:lastRenderedPageBreak/>
        <w:t>Unirea</w:t>
      </w:r>
      <w:proofErr w:type="spellEnd"/>
    </w:p>
    <w:p w:rsidR="00234D85" w:rsidRPr="00234D85" w:rsidRDefault="006168DB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7D3BC8">
        <w:t>3</w:t>
      </w:r>
    </w:p>
    <w:p w:rsidR="00234D85" w:rsidRPr="00234D85" w:rsidRDefault="00234D85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>roja directa al nº 9 (</w:t>
      </w:r>
      <w:proofErr w:type="spellStart"/>
      <w:r>
        <w:t>Gicuta</w:t>
      </w:r>
      <w:proofErr w:type="spellEnd"/>
      <w:r>
        <w:t xml:space="preserve"> </w:t>
      </w:r>
      <w:proofErr w:type="spellStart"/>
      <w:r>
        <w:t>Corleciuc</w:t>
      </w:r>
      <w:proofErr w:type="spellEnd"/>
      <w:r>
        <w:t>) por dar una patada a un contrario sin balón.</w:t>
      </w:r>
    </w:p>
    <w:p w:rsidR="00EC4A18" w:rsidRPr="000C6C30" w:rsidRDefault="00234D85" w:rsidP="00234D85">
      <w:pPr>
        <w:ind w:left="2880"/>
        <w:rPr>
          <w:b/>
          <w:color w:val="FF0000"/>
          <w:u w:val="single"/>
        </w:rPr>
      </w:pPr>
      <w:r>
        <w:t>Se le sanciona con 4 partidos de suspensión y 2</w:t>
      </w:r>
      <w:r w:rsidR="00854BC7">
        <w:t>4</w:t>
      </w:r>
      <w:r>
        <w:t xml:space="preserve"> euros de multa considerando también que es reincidente</w:t>
      </w:r>
      <w:r w:rsidR="00656883">
        <w:t>.</w:t>
      </w:r>
    </w:p>
    <w:p w:rsidR="000C6C30" w:rsidRPr="0034347C" w:rsidRDefault="000C6C30" w:rsidP="000C6C30">
      <w:pPr>
        <w:rPr>
          <w:u w:val="single"/>
        </w:rPr>
      </w:pPr>
      <w:r>
        <w:tab/>
      </w:r>
    </w:p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E84CEF" w:rsidRDefault="004839BA" w:rsidP="0034347C">
      <w:pPr>
        <w:numPr>
          <w:ilvl w:val="3"/>
          <w:numId w:val="11"/>
        </w:numPr>
      </w:pPr>
      <w:r>
        <w:t xml:space="preserve">amarilla al nº </w:t>
      </w:r>
      <w:r w:rsidR="00193FB9">
        <w:t>7</w:t>
      </w:r>
    </w:p>
    <w:p w:rsidR="00193FB9" w:rsidRDefault="00E84CEF" w:rsidP="0034347C">
      <w:pPr>
        <w:numPr>
          <w:ilvl w:val="3"/>
          <w:numId w:val="11"/>
        </w:numPr>
      </w:pPr>
      <w:r>
        <w:t xml:space="preserve">amarilla al nº </w:t>
      </w:r>
      <w:r w:rsidR="00193FB9">
        <w:t>14</w:t>
      </w:r>
    </w:p>
    <w:p w:rsidR="0034347C" w:rsidRDefault="00193FB9" w:rsidP="0034347C">
      <w:pPr>
        <w:numPr>
          <w:ilvl w:val="3"/>
          <w:numId w:val="11"/>
        </w:numPr>
      </w:pPr>
      <w:r>
        <w:t>amarilla al entrenador</w:t>
      </w:r>
      <w:r w:rsidR="0034347C">
        <w:t>.</w:t>
      </w:r>
    </w:p>
    <w:p w:rsidR="008A0232" w:rsidRDefault="008A0232" w:rsidP="008A0232">
      <w:pPr>
        <w:ind w:left="2880"/>
      </w:pPr>
    </w:p>
    <w:p w:rsidR="008A0232" w:rsidRPr="0034347C" w:rsidRDefault="008A0232" w:rsidP="008A0232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La </w:t>
      </w:r>
      <w:r>
        <w:rPr>
          <w:b/>
        </w:rPr>
        <w:t>Sede</w:t>
      </w:r>
    </w:p>
    <w:p w:rsidR="008A0232" w:rsidRDefault="008A0232" w:rsidP="008A0232">
      <w:pPr>
        <w:numPr>
          <w:ilvl w:val="3"/>
          <w:numId w:val="11"/>
        </w:numPr>
      </w:pPr>
      <w:r>
        <w:t>amarilla al nº 5.</w:t>
      </w:r>
    </w:p>
    <w:p w:rsidR="00656883" w:rsidRDefault="00656883" w:rsidP="00656883">
      <w:pPr>
        <w:ind w:left="2880"/>
      </w:pPr>
    </w:p>
    <w:p w:rsidR="008A0232" w:rsidRPr="0034347C" w:rsidRDefault="008A0232" w:rsidP="008A0232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8A0232" w:rsidRDefault="008A0232" w:rsidP="008A0232">
      <w:pPr>
        <w:numPr>
          <w:ilvl w:val="3"/>
          <w:numId w:val="11"/>
        </w:numPr>
      </w:pPr>
      <w:r>
        <w:t>amarilla al nº 6</w:t>
      </w:r>
    </w:p>
    <w:p w:rsidR="008A0232" w:rsidRDefault="008A0232" w:rsidP="008A0232">
      <w:pPr>
        <w:numPr>
          <w:ilvl w:val="3"/>
          <w:numId w:val="11"/>
        </w:numPr>
      </w:pPr>
      <w:r>
        <w:t>amarilla al nº 20.</w:t>
      </w:r>
    </w:p>
    <w:p w:rsidR="008A0232" w:rsidRDefault="008A0232" w:rsidP="00656883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656883" w:rsidRDefault="00656883" w:rsidP="00656883">
      <w:pPr>
        <w:numPr>
          <w:ilvl w:val="3"/>
          <w:numId w:val="11"/>
        </w:numPr>
      </w:pPr>
      <w:r>
        <w:t xml:space="preserve">amarilla al nº </w:t>
      </w:r>
      <w:r w:rsidR="00234D85">
        <w:t>1</w:t>
      </w:r>
      <w:r w:rsidR="006847C9">
        <w:t>5</w:t>
      </w:r>
      <w:r>
        <w:t>.</w:t>
      </w:r>
    </w:p>
    <w:p w:rsidR="00234D85" w:rsidRDefault="00234D85" w:rsidP="00656883">
      <w:pPr>
        <w:numPr>
          <w:ilvl w:val="3"/>
          <w:numId w:val="11"/>
        </w:numPr>
      </w:pPr>
      <w:r>
        <w:t xml:space="preserve">Se </w:t>
      </w:r>
      <w:r w:rsidR="00854BC7">
        <w:t xml:space="preserve">da por perdido el partido por 4-0 y se </w:t>
      </w:r>
      <w:r>
        <w:t xml:space="preserve">sanciona también </w:t>
      </w:r>
      <w:r w:rsidR="00854BC7">
        <w:t xml:space="preserve">con 24 euros </w:t>
      </w:r>
      <w:r>
        <w:t xml:space="preserve">al </w:t>
      </w:r>
      <w:proofErr w:type="spellStart"/>
      <w:r>
        <w:t>Yepronor</w:t>
      </w:r>
      <w:proofErr w:type="spellEnd"/>
      <w:r>
        <w:t xml:space="preserve"> por alineación indebida de su nº 15 tras ser reclamada por el Zabala y una vez comprobado que el portador de ese dorsal / licencia no era el que figuraba en la Ficha.</w:t>
      </w:r>
    </w:p>
    <w:p w:rsidR="00925197" w:rsidRDefault="00925197" w:rsidP="00925197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6847C9" w:rsidRDefault="006847C9" w:rsidP="00656883">
      <w:pPr>
        <w:numPr>
          <w:ilvl w:val="3"/>
          <w:numId w:val="11"/>
        </w:numPr>
      </w:pPr>
      <w:r>
        <w:t xml:space="preserve">amarilla al nº </w:t>
      </w:r>
      <w:r w:rsidR="00193FB9">
        <w:t>13.</w:t>
      </w:r>
      <w:r>
        <w:t xml:space="preserve"> </w:t>
      </w:r>
    </w:p>
    <w:p w:rsidR="00656883" w:rsidRDefault="00656883" w:rsidP="00656883">
      <w:pPr>
        <w:ind w:left="2880"/>
      </w:pPr>
    </w:p>
    <w:p w:rsidR="003500F1" w:rsidRPr="0034347C" w:rsidRDefault="0052563A" w:rsidP="003500F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3500F1" w:rsidRDefault="003500F1" w:rsidP="003500F1">
      <w:pPr>
        <w:numPr>
          <w:ilvl w:val="3"/>
          <w:numId w:val="11"/>
        </w:numPr>
      </w:pPr>
      <w:r>
        <w:t xml:space="preserve">amarilla al nº </w:t>
      </w:r>
      <w:r w:rsidR="00854BC7">
        <w:t>17</w:t>
      </w:r>
    </w:p>
    <w:p w:rsidR="0052563A" w:rsidRDefault="003500F1" w:rsidP="0052563A">
      <w:pPr>
        <w:numPr>
          <w:ilvl w:val="3"/>
          <w:numId w:val="11"/>
        </w:numPr>
      </w:pPr>
      <w:r>
        <w:t xml:space="preserve">amarilla al nº </w:t>
      </w:r>
      <w:r w:rsidR="00854BC7">
        <w:t>19.</w:t>
      </w:r>
    </w:p>
    <w:p w:rsidR="008A0232" w:rsidRDefault="008A0232" w:rsidP="00925197">
      <w:pPr>
        <w:ind w:left="2880"/>
      </w:pPr>
    </w:p>
    <w:p w:rsidR="00193FB9" w:rsidRDefault="00193FB9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B17D02" w:rsidRPr="00457CEA" w:rsidTr="004839BA">
        <w:tc>
          <w:tcPr>
            <w:tcW w:w="1531" w:type="dxa"/>
          </w:tcPr>
          <w:p w:rsidR="00B17D02" w:rsidRDefault="00B17D0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Olmedo Ruiz (nº 22)</w:t>
            </w:r>
          </w:p>
        </w:tc>
        <w:tc>
          <w:tcPr>
            <w:tcW w:w="1134" w:type="dxa"/>
          </w:tcPr>
          <w:p w:rsidR="00B17D02" w:rsidRDefault="00B17D02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B17D02" w:rsidRDefault="00B17D0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18-12-2022</w:t>
            </w:r>
          </w:p>
        </w:tc>
        <w:tc>
          <w:tcPr>
            <w:tcW w:w="1276" w:type="dxa"/>
          </w:tcPr>
          <w:p w:rsidR="00B17D02" w:rsidRDefault="00B17D0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4253" w:type="dxa"/>
          </w:tcPr>
          <w:p w:rsidR="00B17D02" w:rsidRDefault="00B17D0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 partidos de suspensión y 36 euros de multa por insultar al árbitro y posteriormente, al terminar el partido, saltar al campo y proferir nuevos insultos.</w:t>
            </w:r>
          </w:p>
          <w:p w:rsidR="00B17D02" w:rsidRDefault="00B17D02" w:rsidP="00914E14">
            <w:pPr>
              <w:ind w:left="1"/>
              <w:rPr>
                <w:sz w:val="20"/>
                <w:szCs w:val="20"/>
              </w:rPr>
            </w:pPr>
          </w:p>
          <w:p w:rsidR="00B17D02" w:rsidRDefault="00B17D0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4-12-2022</w:t>
            </w:r>
          </w:p>
        </w:tc>
      </w:tr>
      <w:tr w:rsidR="008A69F8" w:rsidRPr="00457CEA" w:rsidTr="004839BA">
        <w:tc>
          <w:tcPr>
            <w:tcW w:w="1531" w:type="dxa"/>
          </w:tcPr>
          <w:p w:rsidR="008A69F8" w:rsidRDefault="008A69F8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Nicu</w:t>
            </w:r>
            <w:proofErr w:type="spellEnd"/>
            <w:r>
              <w:rPr>
                <w:sz w:val="20"/>
                <w:szCs w:val="20"/>
              </w:rPr>
              <w:t xml:space="preserve"> Gabriel </w:t>
            </w:r>
            <w:proofErr w:type="spellStart"/>
            <w:r>
              <w:rPr>
                <w:sz w:val="20"/>
                <w:szCs w:val="20"/>
              </w:rPr>
              <w:t>Medeleanu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A69F8" w:rsidRDefault="008A69F8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3)</w:t>
            </w:r>
          </w:p>
        </w:tc>
        <w:tc>
          <w:tcPr>
            <w:tcW w:w="1134" w:type="dxa"/>
          </w:tcPr>
          <w:p w:rsidR="008A69F8" w:rsidRDefault="008A69F8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A69F8" w:rsidRDefault="008A69F8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8A69F8" w:rsidRDefault="008A69F8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4253" w:type="dxa"/>
          </w:tcPr>
          <w:p w:rsidR="008A69F8" w:rsidRDefault="008A69F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las reclamaciones y protestas sin fundamento, falta de respeto y nula educación hacia el árbitro desde el inicio del encuentro.</w:t>
            </w:r>
          </w:p>
          <w:p w:rsidR="008A69F8" w:rsidRDefault="008A69F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18-12-2022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 w:rsidRPr="003500F1">
              <w:rPr>
                <w:sz w:val="20"/>
                <w:szCs w:val="20"/>
                <w:lang w:val="en-US"/>
              </w:rPr>
              <w:t xml:space="preserve">Jorge David </w:t>
            </w:r>
            <w:proofErr w:type="spellStart"/>
            <w:r w:rsidRPr="003500F1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3500F1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1134" w:type="dxa"/>
          </w:tcPr>
          <w:p w:rsidR="003500F1" w:rsidRPr="003500F1" w:rsidRDefault="003500F1" w:rsidP="00914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275" w:type="dxa"/>
          </w:tcPr>
          <w:p w:rsidR="003500F1" w:rsidRP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P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 w:rsidRPr="003500F1">
              <w:rPr>
                <w:sz w:val="20"/>
                <w:szCs w:val="20"/>
              </w:rPr>
              <w:t>Se le sanciona con 4 partidos de suspensi</w:t>
            </w:r>
            <w:r>
              <w:rPr>
                <w:sz w:val="20"/>
                <w:szCs w:val="20"/>
              </w:rPr>
              <w:t>ón y 36 euros de multa por pelear con un contrario.</w:t>
            </w:r>
          </w:p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Default="003500F1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Youssef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Elovabde</w:t>
            </w:r>
            <w:proofErr w:type="spellEnd"/>
          </w:p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(nº 9)</w:t>
            </w:r>
          </w:p>
        </w:tc>
        <w:tc>
          <w:tcPr>
            <w:tcW w:w="1134" w:type="dxa"/>
          </w:tcPr>
          <w:p w:rsidR="003500F1" w:rsidRDefault="003500F1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dar un cabezazo en el pecho a un contrario estando el juego parado.</w:t>
            </w:r>
          </w:p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DF10FB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DF10FB" w:rsidRDefault="00DF10FB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74E33" w:rsidRDefault="00DF10FB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270DAB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74E33" w:rsidRDefault="00DF10F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</w:t>
            </w:r>
            <w:r w:rsidR="00270DAB">
              <w:rPr>
                <w:sz w:val="20"/>
                <w:szCs w:val="20"/>
              </w:rPr>
              <w:t>con 16 partidos,</w:t>
            </w:r>
            <w:r>
              <w:rPr>
                <w:sz w:val="20"/>
                <w:szCs w:val="20"/>
              </w:rPr>
              <w:t xml:space="preserve"> 48 euros de multa</w:t>
            </w:r>
            <w:r w:rsidR="00270DAB">
              <w:rPr>
                <w:sz w:val="20"/>
                <w:szCs w:val="20"/>
              </w:rPr>
              <w:t xml:space="preserve"> y la obligación de arbitrar cuando se le indique durante esta temporada </w:t>
            </w:r>
            <w:r>
              <w:rPr>
                <w:sz w:val="20"/>
                <w:szCs w:val="20"/>
              </w:rPr>
              <w:t xml:space="preserve"> por los hechos indicados en el</w:t>
            </w:r>
            <w:r w:rsidR="00270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Acta del 18-12-2022.</w:t>
            </w:r>
          </w:p>
          <w:p w:rsidR="008A0232" w:rsidRDefault="008A0232" w:rsidP="00270DAB">
            <w:pPr>
              <w:ind w:left="1"/>
              <w:rPr>
                <w:sz w:val="20"/>
                <w:szCs w:val="20"/>
              </w:rPr>
            </w:pPr>
          </w:p>
          <w:p w:rsidR="00270DAB" w:rsidRDefault="00270DA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Luis Uranga Romano </w:t>
            </w:r>
          </w:p>
          <w:p w:rsidR="007519BC" w:rsidRPr="00DF10FB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11)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</w:tc>
        <w:tc>
          <w:tcPr>
            <w:tcW w:w="1275" w:type="dxa"/>
          </w:tcPr>
          <w:p w:rsidR="00074E33" w:rsidRDefault="007519BC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952369" w:rsidP="009523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7519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2</w:t>
            </w:r>
            <w:r w:rsidR="007519BC">
              <w:rPr>
                <w:sz w:val="20"/>
                <w:szCs w:val="20"/>
                <w:lang w:val="en-US"/>
              </w:rPr>
              <w:t>-2023</w:t>
            </w:r>
          </w:p>
        </w:tc>
        <w:tc>
          <w:tcPr>
            <w:tcW w:w="4253" w:type="dxa"/>
          </w:tcPr>
          <w:p w:rsidR="00952369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pelear con un contrario.</w:t>
            </w:r>
          </w:p>
          <w:p w:rsidR="007519BC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Roger </w:t>
            </w:r>
            <w:proofErr w:type="spellStart"/>
            <w:r>
              <w:rPr>
                <w:sz w:val="20"/>
                <w:szCs w:val="20"/>
              </w:rPr>
              <w:t>Andriel</w:t>
            </w:r>
            <w:proofErr w:type="spellEnd"/>
            <w:r>
              <w:rPr>
                <w:sz w:val="20"/>
                <w:szCs w:val="20"/>
              </w:rPr>
              <w:t xml:space="preserve"> Camacho Pérez (nº 26)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952369" w:rsidP="0095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4253" w:type="dxa"/>
          </w:tcPr>
          <w:p w:rsidR="00952369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insultar al árbitro.</w:t>
            </w:r>
          </w:p>
          <w:p w:rsidR="00952369" w:rsidRDefault="00952369" w:rsidP="00952369">
            <w:pPr>
              <w:ind w:left="1"/>
              <w:rPr>
                <w:sz w:val="20"/>
                <w:szCs w:val="20"/>
              </w:rPr>
            </w:pPr>
          </w:p>
          <w:p w:rsidR="00716E23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854BC7" w:rsidRPr="003500F1" w:rsidTr="004839BA">
        <w:tc>
          <w:tcPr>
            <w:tcW w:w="1531" w:type="dxa"/>
          </w:tcPr>
          <w:p w:rsidR="00854BC7" w:rsidRDefault="00854BC7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Gicuta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Corleciuc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54BC7" w:rsidRDefault="00854BC7" w:rsidP="0085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9)</w:t>
            </w:r>
          </w:p>
        </w:tc>
        <w:tc>
          <w:tcPr>
            <w:tcW w:w="1134" w:type="dxa"/>
          </w:tcPr>
          <w:p w:rsidR="00854BC7" w:rsidRPr="007519BC" w:rsidRDefault="00854BC7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54BC7" w:rsidRDefault="00854BC7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1276" w:type="dxa"/>
          </w:tcPr>
          <w:p w:rsidR="00854BC7" w:rsidRDefault="00854BC7" w:rsidP="0095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pegar una patada sin balón a un contrario siendo reincidente.</w:t>
            </w:r>
          </w:p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</w:p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15-1-2023</w:t>
            </w:r>
          </w:p>
        </w:tc>
      </w:tr>
    </w:tbl>
    <w:p w:rsidR="00834484" w:rsidRPr="003500F1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193FB9" w:rsidRDefault="00193FB9" w:rsidP="00C82B4B">
      <w:pPr>
        <w:rPr>
          <w:b/>
        </w:rPr>
      </w:pPr>
    </w:p>
    <w:p w:rsidR="00193FB9" w:rsidRPr="003500F1" w:rsidRDefault="00193FB9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716E23" w:rsidRDefault="00716E23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716E23" w:rsidRDefault="00716E23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D34AF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716E23" w:rsidRDefault="00716E23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E2EBD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Sin considerar el importe de las multas al 31-12-2022 (se deben pagar antes del </w:t>
      </w:r>
      <w:r w:rsidR="00270DAB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4-1-2023) y la cuota del 16-1-2023,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847CB" w:rsidRDefault="00BC763F" w:rsidP="00BC763F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Yepronor</w:t>
            </w:r>
            <w:proofErr w:type="spellEnd"/>
            <w:r w:rsidR="00AE2EBD">
              <w:t xml:space="preserve"> </w:t>
            </w:r>
            <w:r w:rsidR="00AE2EBD" w:rsidRPr="00AE2EBD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AE2EBD" w:rsidP="00AE2EBD">
            <w:pPr>
              <w:spacing w:before="100" w:after="100"/>
              <w:jc w:val="center"/>
            </w:pPr>
            <w:r>
              <w:t>237,12</w:t>
            </w:r>
            <w:r w:rsidR="002847CB">
              <w:t xml:space="preserve"> </w:t>
            </w:r>
            <w:r w:rsidR="002C37B7">
              <w:t>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BC763F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  <w:r w:rsidR="00AE2EBD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AE2EBD" w:rsidP="00AE2EBD">
            <w:pPr>
              <w:spacing w:before="100" w:after="100"/>
              <w:jc w:val="center"/>
            </w:pPr>
            <w:r>
              <w:t>138,86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BC763F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BC763F">
              <w:t xml:space="preserve"> </w:t>
            </w:r>
            <w:r w:rsidR="00AE2EBD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AE2EBD" w:rsidP="00AE2EBD">
            <w:pPr>
              <w:spacing w:before="100" w:after="100"/>
              <w:jc w:val="center"/>
            </w:pPr>
            <w:r>
              <w:t>71,55</w:t>
            </w:r>
            <w:r w:rsidR="00BC763F">
              <w:t xml:space="preserve">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r w:rsidR="00FD34AF">
        <w:rPr>
          <w:b/>
        </w:rPr>
        <w:t>18</w:t>
      </w:r>
      <w:r w:rsidRPr="00690C22">
        <w:rPr>
          <w:b/>
        </w:rPr>
        <w:t xml:space="preserve"> de </w:t>
      </w:r>
      <w:r w:rsidR="00FD34AF">
        <w:rPr>
          <w:b/>
        </w:rPr>
        <w:t>enero de 2023</w:t>
      </w:r>
      <w:r w:rsidRPr="00690C22">
        <w:rPr>
          <w:b/>
        </w:rPr>
        <w:t xml:space="preserve">, NO JUGARÁN desde la jornada del </w:t>
      </w:r>
      <w:r w:rsidR="00FD34AF">
        <w:rPr>
          <w:b/>
        </w:rPr>
        <w:t>22</w:t>
      </w:r>
      <w:r w:rsidRPr="00690C22">
        <w:rPr>
          <w:b/>
        </w:rPr>
        <w:t xml:space="preserve"> de </w:t>
      </w:r>
      <w:r w:rsidR="00FD34AF">
        <w:rPr>
          <w:b/>
        </w:rPr>
        <w:t>enero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1" w:rsidRDefault="00766011">
      <w:r>
        <w:separator/>
      </w:r>
    </w:p>
  </w:endnote>
  <w:endnote w:type="continuationSeparator" w:id="0">
    <w:p w:rsidR="00766011" w:rsidRDefault="0076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15</w:t>
    </w:r>
    <w:r w:rsidRPr="00B62BB2">
      <w:rPr>
        <w:sz w:val="18"/>
        <w:szCs w:val="18"/>
      </w:rPr>
      <w:t>-</w:t>
    </w:r>
    <w:r>
      <w:rPr>
        <w:sz w:val="18"/>
        <w:szCs w:val="18"/>
      </w:rPr>
      <w:t>1-23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        </w:t>
    </w:r>
    <w:r w:rsidRPr="00B62BB2">
      <w:rPr>
        <w:sz w:val="18"/>
        <w:szCs w:val="18"/>
      </w:rPr>
      <w:t xml:space="preserve">                      pág.</w:t>
    </w:r>
    <w:r w:rsidR="0041344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13446" w:rsidRPr="00B62BB2">
      <w:rPr>
        <w:rStyle w:val="Nmerodepgina"/>
        <w:sz w:val="18"/>
        <w:szCs w:val="18"/>
      </w:rPr>
      <w:fldChar w:fldCharType="separate"/>
    </w:r>
    <w:r w:rsidR="008B0947">
      <w:rPr>
        <w:rStyle w:val="Nmerodepgina"/>
        <w:sz w:val="18"/>
        <w:szCs w:val="18"/>
      </w:rPr>
      <w:t>2</w:t>
    </w:r>
    <w:r w:rsidR="00413446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1344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13446" w:rsidRPr="00B62BB2">
      <w:rPr>
        <w:rStyle w:val="Nmerodepgina"/>
        <w:sz w:val="18"/>
        <w:szCs w:val="18"/>
      </w:rPr>
      <w:fldChar w:fldCharType="separate"/>
    </w:r>
    <w:r w:rsidR="008B0947">
      <w:rPr>
        <w:rStyle w:val="Nmerodepgina"/>
        <w:sz w:val="18"/>
        <w:szCs w:val="18"/>
      </w:rPr>
      <w:t>7</w:t>
    </w:r>
    <w:r w:rsidR="00413446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1" w:rsidRDefault="00766011">
      <w:r>
        <w:separator/>
      </w:r>
    </w:p>
  </w:footnote>
  <w:footnote w:type="continuationSeparator" w:id="0">
    <w:p w:rsidR="00766011" w:rsidRDefault="00766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0DAB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446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6D13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68C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1345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2EE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011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947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2EBD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0D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98C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2D3C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1F003-038F-4EEC-A90A-0C1F53D8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6</cp:revision>
  <cp:lastPrinted>2023-01-15T20:49:00Z</cp:lastPrinted>
  <dcterms:created xsi:type="dcterms:W3CDTF">2023-01-15T20:19:00Z</dcterms:created>
  <dcterms:modified xsi:type="dcterms:W3CDTF">2023-01-15T20:49:00Z</dcterms:modified>
</cp:coreProperties>
</file>